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Anti-Money Laundering (AML)</w:t>
        <w:br w:type="textWrapping"/>
        <w:t xml:space="preserve">Policy Implementation Toolkit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Operational Control Framework | Audit-Ready | Multi-Jurisdictional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Document Overview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document provides a structured framework for implementing Anti-Money Laundering (AML) controls in practice. It translates policy requirements into operational execution across onboarding, due diligence, monitoring, escalation, reporting and governance.</w:t>
        <w:br w:type="textWrapping"/>
        <w:br w:type="textWrapping"/>
        <w:t xml:space="preserve">It is designed to support consistency, traceability and defensibility of AML decisions under audit and regulatory review.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color w:val="646464"/>
          <w:rtl w:val="0"/>
        </w:rPr>
        <w:t xml:space="preserve">——————————————————————————————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Client Register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Maintains a consolidated view of client onboarding, classification and risk exposure.</w:t>
      </w:r>
    </w:p>
    <w:tbl>
      <w:tblPr>
        <w:tblStyle w:val="Table1"/>
        <w:tblW w:w="8640.0" w:type="dxa"/>
        <w:jc w:val="center"/>
        <w:tblLayout w:type="fixed"/>
        <w:tblLook w:val="04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Client ID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Risk Level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EDD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color w:val="646464"/>
          <w:rtl w:val="0"/>
        </w:rPr>
        <w:t xml:space="preserve">——————————————————————————————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CDD &amp; UBO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Documents due diligence performed and beneficial ownership verification.</w:t>
      </w:r>
    </w:p>
    <w:tbl>
      <w:tblPr>
        <w:tblStyle w:val="Table2"/>
        <w:tblW w:w="8640.0" w:type="dxa"/>
        <w:jc w:val="center"/>
        <w:tblLayout w:type="fixed"/>
        <w:tblLook w:val="04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Client ID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CDD Level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Documents Verified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UBO Identified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EDD Depth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/>
      </w:pPr>
      <w:r w:rsidDel="00000000" w:rsidR="00000000" w:rsidRPr="00000000">
        <w:rPr>
          <w:color w:val="646464"/>
          <w:rtl w:val="0"/>
        </w:rPr>
        <w:t xml:space="preserve">——————————————————————————————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Transaction Monitoring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Tracks expected behaviour against actual activity and supports escalation decisions.</w:t>
      </w:r>
    </w:p>
    <w:tbl>
      <w:tblPr>
        <w:tblStyle w:val="Table3"/>
        <w:tblW w:w="8640.0" w:type="dxa"/>
        <w:jc w:val="center"/>
        <w:tblLayout w:type="fixed"/>
        <w:tblLook w:val="04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Transaction ID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Client ID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Expected Behaviour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Actual Activity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Flag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Escalation Trigger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/>
      </w:pPr>
      <w:r w:rsidDel="00000000" w:rsidR="00000000" w:rsidRPr="00000000">
        <w:rPr>
          <w:color w:val="646464"/>
          <w:rtl w:val="0"/>
        </w:rPr>
        <w:t xml:space="preserve">——————————————————————————————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SAR / STR Register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Captures internal escalation and external reporting decisions.</w:t>
      </w:r>
    </w:p>
    <w:tbl>
      <w:tblPr>
        <w:tblStyle w:val="Table4"/>
        <w:tblW w:w="8640.0" w:type="dxa"/>
        <w:jc w:val="center"/>
        <w:tblLayout w:type="fixed"/>
        <w:tblLook w:val="04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Report ID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Client ID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Reason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/>
      </w:pPr>
      <w:r w:rsidDel="00000000" w:rsidR="00000000" w:rsidRPr="00000000">
        <w:rPr>
          <w:color w:val="646464"/>
          <w:rtl w:val="0"/>
        </w:rPr>
        <w:t xml:space="preserve">——————————————————————————————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Sanctions &amp; PEP Screening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Documents screening outcomes and actions taken.</w:t>
      </w:r>
    </w:p>
    <w:tbl>
      <w:tblPr>
        <w:tblStyle w:val="Table5"/>
        <w:tblW w:w="8640.0" w:type="dxa"/>
        <w:jc w:val="center"/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Client ID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Screening Result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Match Type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center"/>
        <w:rPr/>
      </w:pPr>
      <w:r w:rsidDel="00000000" w:rsidR="00000000" w:rsidRPr="00000000">
        <w:rPr>
          <w:color w:val="646464"/>
          <w:rtl w:val="0"/>
        </w:rPr>
        <w:t xml:space="preserve">——————————————————————————————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Training &amp; Governance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Provides evidence of control awareness, oversight and review.</w:t>
      </w:r>
    </w:p>
    <w:tbl>
      <w:tblPr>
        <w:tblStyle w:val="Table6"/>
        <w:tblW w:w="8640.0" w:type="dxa"/>
        <w:jc w:val="center"/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Employee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Training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center"/>
        <w:rPr/>
      </w:pPr>
      <w:r w:rsidDel="00000000" w:rsidR="00000000" w:rsidRPr="00000000">
        <w:rPr>
          <w:color w:val="646464"/>
          <w:rtl w:val="0"/>
        </w:rPr>
        <w:t xml:space="preserve">——————————————————————————————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1"/>
        <w:rPr/>
      </w:pPr>
      <w:r w:rsidDel="00000000" w:rsidR="00000000" w:rsidRPr="00000000">
        <w:rPr>
          <w:rtl w:val="0"/>
        </w:rPr>
        <w:t xml:space="preserve">Jurisdiction-Specific Controls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United States (FinCEN / OFAC)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Focus on reporting, sanctions compliance and escalation discipline.</w:t>
      </w:r>
    </w:p>
    <w:tbl>
      <w:tblPr>
        <w:tblStyle w:val="Table7"/>
        <w:tblW w:w="8640.0" w:type="dxa"/>
        <w:jc w:val="center"/>
        <w:tblLayout w:type="fixed"/>
        <w:tblLook w:val="04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Client ID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OFAC Match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SAR Filed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CTR Required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center"/>
        <w:rPr/>
      </w:pPr>
      <w:r w:rsidDel="00000000" w:rsidR="00000000" w:rsidRPr="00000000">
        <w:rPr>
          <w:color w:val="646464"/>
          <w:rtl w:val="0"/>
        </w:rPr>
        <w:t xml:space="preserve">——————————————————————————————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United Kingdom (MLR 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Focus on risk-based assessment, beneficial ownership and PEP controls.</w:t>
      </w:r>
    </w:p>
    <w:tbl>
      <w:tblPr>
        <w:tblStyle w:val="Table8"/>
        <w:tblW w:w="8640.0" w:type="dxa"/>
        <w:jc w:val="center"/>
        <w:tblLayout w:type="fixed"/>
        <w:tblLook w:val="04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Client ID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Risk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EDD Applied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SAR 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center"/>
        <w:rPr/>
      </w:pPr>
      <w:r w:rsidDel="00000000" w:rsidR="00000000" w:rsidRPr="00000000">
        <w:rPr>
          <w:color w:val="646464"/>
          <w:rtl w:val="0"/>
        </w:rPr>
        <w:t xml:space="preserve">——————————————————————————————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United Arab Emirates (goAML / MLRO)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Focus on escalation, FIU reporting and control traceability.</w:t>
      </w:r>
    </w:p>
    <w:tbl>
      <w:tblPr>
        <w:tblStyle w:val="Table9"/>
        <w:tblW w:w="8640.0" w:type="dxa"/>
        <w:jc w:val="center"/>
        <w:tblLayout w:type="fixed"/>
        <w:tblLook w:val="04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Client ID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MLRO Escalation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goAML Filed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Proliferation Risk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center"/>
        <w:rPr/>
      </w:pPr>
      <w:r w:rsidDel="00000000" w:rsidR="00000000" w:rsidRPr="00000000">
        <w:rPr>
          <w:color w:val="646464"/>
          <w:rtl w:val="0"/>
        </w:rPr>
        <w:t xml:space="preserve">——————————————————————————————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Singapore (MAS)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Focus on structured controls, monitoring discipline and STR reporting.</w:t>
      </w:r>
    </w:p>
    <w:tbl>
      <w:tblPr>
        <w:tblStyle w:val="Table10"/>
        <w:tblW w:w="8640.0" w:type="dxa"/>
        <w:jc w:val="center"/>
        <w:tblLayout w:type="fixed"/>
        <w:tblLook w:val="04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Client ID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CDD Level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 Filed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Monitoring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jc w:val="center"/>
        <w:rPr/>
      </w:pPr>
      <w:r w:rsidDel="00000000" w:rsidR="00000000" w:rsidRPr="00000000">
        <w:rPr>
          <w:color w:val="646464"/>
          <w:rtl w:val="0"/>
        </w:rPr>
        <w:t xml:space="preserve">——————————————————————————————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2026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AML Policy Implementation Toolkit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4762500</wp:posOffset>
          </wp:positionH>
          <wp:positionV relativeFrom="paragraph">
            <wp:posOffset>-304799</wp:posOffset>
          </wp:positionV>
          <wp:extent cx="1604963" cy="5656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4963" cy="5656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